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68FA6E94" w:rsidR="00F618ED" w:rsidRPr="00446F9D" w:rsidRDefault="00F618ED" w:rsidP="00F618ED">
      <w:pPr>
        <w:pStyle w:val="Header"/>
        <w:tabs>
          <w:tab w:val="clear" w:pos="4536"/>
        </w:tabs>
        <w:rPr>
          <w:i/>
        </w:rPr>
      </w:pPr>
      <w:bookmarkStart w:id="0" w:name="_GoBack"/>
      <w:bookmarkEnd w:id="0"/>
      <w:r w:rsidRPr="00446F9D">
        <w:t>TSG-RAN WG1 #</w:t>
      </w:r>
      <w:r>
        <w:t>87</w:t>
      </w:r>
      <w:r w:rsidRPr="00446F9D">
        <w:tab/>
      </w:r>
      <w:r w:rsidRPr="00363390">
        <w:t>R1-16</w:t>
      </w:r>
      <w:r w:rsidR="009B5722">
        <w:t>12909</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5482928A" w:rsidR="00F618ED" w:rsidRPr="00E220C0" w:rsidRDefault="00F618ED" w:rsidP="00F618ED">
      <w:pPr>
        <w:pStyle w:val="Header"/>
        <w:tabs>
          <w:tab w:val="clear" w:pos="4536"/>
          <w:tab w:val="left" w:pos="1800"/>
        </w:tabs>
      </w:pPr>
      <w:r w:rsidRPr="0003368D">
        <w:t>Title:</w:t>
      </w:r>
      <w:bookmarkStart w:id="1" w:name="Title"/>
      <w:bookmarkEnd w:id="1"/>
      <w:r w:rsidRPr="0003368D">
        <w:tab/>
      </w:r>
      <w:r w:rsidR="00E20E32">
        <w:t xml:space="preserve">On </w:t>
      </w:r>
      <w:r w:rsidR="0064000B">
        <w:t>blind detection of</w:t>
      </w:r>
      <w:r w:rsidR="00335675">
        <w:t xml:space="preserve"> downlink control channels</w:t>
      </w:r>
    </w:p>
    <w:p w14:paraId="0DB675C4" w14:textId="77777777"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49799A">
        <w:t>1</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31DF6CD7" w14:textId="69E5FDC4" w:rsidR="00230310" w:rsidRDefault="0064000B" w:rsidP="009A0611">
      <w:pPr>
        <w:pStyle w:val="BodyText"/>
      </w:pPr>
      <w:r>
        <w:t xml:space="preserve">Downlink control channel need to support a range of payload sizes to handle different control signaling messages as well as a range of code rates to enable different channel conditions. In LTE, blind detection is used to support this flexibility. </w:t>
      </w:r>
      <w:r w:rsidR="00230310">
        <w:t xml:space="preserve">In this contribution we discuss some </w:t>
      </w:r>
      <w:r w:rsidR="0017298C">
        <w:t>aspects of blind detection</w:t>
      </w:r>
      <w:r w:rsidR="00230310">
        <w:t>.</w:t>
      </w:r>
    </w:p>
    <w:p w14:paraId="635F5223" w14:textId="70550894" w:rsidR="004B1C8B" w:rsidRDefault="00230310" w:rsidP="00230310">
      <w:pPr>
        <w:pStyle w:val="Heading1"/>
        <w:spacing w:before="180"/>
        <w:ind w:left="562" w:hanging="562"/>
      </w:pPr>
      <w:r>
        <w:t>Discussion</w:t>
      </w:r>
    </w:p>
    <w:p w14:paraId="374539A5" w14:textId="4E784FC3" w:rsidR="0017298C" w:rsidRDefault="0017298C" w:rsidP="0017298C">
      <w:pPr>
        <w:pStyle w:val="BodyText"/>
      </w:pPr>
      <w:r>
        <w:t>Blind decoding of PDCCH candidates and DCI formats is used in LTE. This principle can advantageously be reused in NR although the number of blind decoding attempts should preferably be kept low. In LTE, the number of different DCI formats are fairly large and many of them differ in payload size with just a few bits. One possibility to simplify this structure could be to define a relatively small number of DCI payload sizes (e.g. 30, 60, 90 bits</w:t>
      </w:r>
      <w:r w:rsidR="00B828BD">
        <w:t>, possibly depending on the UE bandwidth</w:t>
      </w:r>
      <w:r>
        <w:t>) and have a small header of a few bits indicating how the remaining bits should be interpreted</w:t>
      </w:r>
      <w:r w:rsidR="00A413C1">
        <w:t xml:space="preserve"> (</w:t>
      </w:r>
      <w:r w:rsidR="00A413C1">
        <w:fldChar w:fldCharType="begin"/>
      </w:r>
      <w:r w:rsidR="00A413C1">
        <w:instrText xml:space="preserve"> REF _Ref465771147 \h </w:instrText>
      </w:r>
      <w:r w:rsidR="00A413C1">
        <w:fldChar w:fldCharType="separate"/>
      </w:r>
      <w:r w:rsidR="00A413C1">
        <w:t xml:space="preserve">Figure </w:t>
      </w:r>
      <w:r w:rsidR="00A413C1">
        <w:rPr>
          <w:noProof/>
        </w:rPr>
        <w:t>1</w:t>
      </w:r>
      <w:r w:rsidR="00A413C1">
        <w:fldChar w:fldCharType="end"/>
      </w:r>
      <w:r w:rsidR="00A413C1">
        <w:t>)</w:t>
      </w:r>
      <w:r>
        <w:t>.</w:t>
      </w:r>
    </w:p>
    <w:p w14:paraId="75C148ED" w14:textId="5BDD6493" w:rsidR="0017298C" w:rsidRPr="00A413C1" w:rsidRDefault="0017298C" w:rsidP="0017298C">
      <w:pPr>
        <w:pStyle w:val="BodyText"/>
        <w:rPr>
          <w:b/>
        </w:rPr>
      </w:pPr>
      <w:r w:rsidRPr="00A413C1">
        <w:rPr>
          <w:b/>
        </w:rPr>
        <w:t>Proposal: Support a small number of DCI payload sizes. A header in the DCI indicates how to interpret the remaining bits.</w:t>
      </w:r>
    </w:p>
    <w:p w14:paraId="5579EC76" w14:textId="77777777" w:rsidR="00A413C1" w:rsidRDefault="00A413C1" w:rsidP="00A413C1">
      <w:pPr>
        <w:pStyle w:val="BodyText"/>
        <w:keepNext/>
      </w:pPr>
      <w:r w:rsidRPr="00A413C1">
        <w:rPr>
          <w:noProof/>
        </w:rPr>
        <w:drawing>
          <wp:inline distT="0" distB="0" distL="0" distR="0" wp14:anchorId="019460C1" wp14:editId="21763AB4">
            <wp:extent cx="3962400" cy="13770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414" cy="1383650"/>
                    </a:xfrm>
                    <a:prstGeom prst="rect">
                      <a:avLst/>
                    </a:prstGeom>
                    <a:noFill/>
                    <a:ln>
                      <a:noFill/>
                    </a:ln>
                  </pic:spPr>
                </pic:pic>
              </a:graphicData>
            </a:graphic>
          </wp:inline>
        </w:drawing>
      </w:r>
    </w:p>
    <w:p w14:paraId="61EE4145" w14:textId="4041418D" w:rsidR="00A413C1" w:rsidRDefault="00A413C1" w:rsidP="00A413C1">
      <w:pPr>
        <w:pStyle w:val="Caption"/>
        <w:jc w:val="both"/>
      </w:pPr>
      <w:bookmarkStart w:id="4" w:name="_Ref465771147"/>
      <w:r>
        <w:t xml:space="preserve">Figure </w:t>
      </w:r>
      <w:fldSimple w:instr=" SEQ Figure \* ARABIC ">
        <w:r w:rsidR="00533F0E">
          <w:rPr>
            <w:noProof/>
          </w:rPr>
          <w:t>1</w:t>
        </w:r>
      </w:fldSimple>
      <w:bookmarkEnd w:id="4"/>
      <w:r>
        <w:t>: Example of a DCI message.</w:t>
      </w:r>
    </w:p>
    <w:p w14:paraId="6E0435E6" w14:textId="0845A4C0" w:rsidR="0017298C" w:rsidRDefault="00A413C1" w:rsidP="0017298C">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w:t>
      </w:r>
      <w:r w:rsidR="00533F0E">
        <w:t xml:space="preserve">at the top of </w:t>
      </w:r>
      <w:r w:rsidR="00533F0E">
        <w:fldChar w:fldCharType="begin"/>
      </w:r>
      <w:r w:rsidR="00533F0E">
        <w:instrText xml:space="preserve"> REF _Ref465772198 \h </w:instrText>
      </w:r>
      <w:r w:rsidR="00533F0E">
        <w:fldChar w:fldCharType="separate"/>
      </w:r>
      <w:r w:rsidR="00533F0E">
        <w:t xml:space="preserve">Figure </w:t>
      </w:r>
      <w:r w:rsidR="00533F0E">
        <w:rPr>
          <w:noProof/>
        </w:rPr>
        <w:t>2</w:t>
      </w:r>
      <w:r w:rsidR="00533F0E">
        <w:fldChar w:fldCharType="end"/>
      </w:r>
      <w:r w:rsidR="00533F0E">
        <w:t xml:space="preserve">. This way, the channel estimate for aggregation level </w:t>
      </w:r>
      <w:r w:rsidR="00533F0E" w:rsidRPr="00533F0E">
        <w:rPr>
          <w:i/>
        </w:rPr>
        <w:t>n</w:t>
      </w:r>
      <w:r w:rsidR="00533F0E">
        <w:t xml:space="preserve">+1 can be obtained from the channel estimated for the two underlying control channel candidates for aggregation level </w:t>
      </w:r>
      <w:r w:rsidR="00533F0E">
        <w:rPr>
          <w:i/>
        </w:rPr>
        <w:t>n</w:t>
      </w:r>
      <w:r w:rsidR="00533F0E">
        <w:t xml:space="preserve">, thereby possibly simplifying the UE implementation. </w:t>
      </w:r>
    </w:p>
    <w:p w14:paraId="72CE1AEF" w14:textId="1657C7BC" w:rsidR="00737D53" w:rsidRDefault="00737D53" w:rsidP="0017298C">
      <w:pPr>
        <w:pStyle w:val="BodyText"/>
      </w:pPr>
      <w:r>
        <w:t xml:space="preserve">In LTE the UE-specific search space varies over time with the intention to randomize </w:t>
      </w:r>
      <w:r w:rsidR="00982801">
        <w:t>interference</w:t>
      </w:r>
      <w:r>
        <w:t xml:space="preserve"> across cells. </w:t>
      </w:r>
      <w:r w:rsidR="00982801">
        <w:t xml:space="preserve">However, it also results in a somewhat complicated PDCCH scheduling procedure where the </w:t>
      </w:r>
      <w:proofErr w:type="spellStart"/>
      <w:r w:rsidR="00982801">
        <w:t>eNB</w:t>
      </w:r>
      <w:proofErr w:type="spellEnd"/>
      <w:r w:rsidR="00982801">
        <w:t xml:space="preserve"> needs</w:t>
      </w:r>
      <w:r w:rsidR="00B650EF">
        <w:t xml:space="preserve"> not only to determine which downlink </w:t>
      </w:r>
      <w:r w:rsidR="00B828BD">
        <w:t>resources</w:t>
      </w:r>
      <w:r w:rsidR="00B650EF">
        <w:t xml:space="preserve"> to give to which user but jointly also keep track of which PDCCH aggregation levels for a certain user that are not blocked by another user.</w:t>
      </w:r>
      <w:r w:rsidR="00982801">
        <w:t xml:space="preserve"> </w:t>
      </w:r>
      <w:r w:rsidR="00B650EF">
        <w:t>A common nested structure could simplify the PDCCH scheduling issue.</w:t>
      </w:r>
    </w:p>
    <w:p w14:paraId="2A901C99" w14:textId="6F62B193" w:rsidR="00737D53" w:rsidRDefault="00737D53" w:rsidP="0017298C">
      <w:pPr>
        <w:pStyle w:val="BodyText"/>
        <w:rPr>
          <w:b/>
        </w:rPr>
      </w:pPr>
      <w:r w:rsidRPr="00737D53">
        <w:rPr>
          <w:b/>
        </w:rPr>
        <w:t>Proposal: Adopt a nested structure of aggregation levels.</w:t>
      </w:r>
    </w:p>
    <w:p w14:paraId="3843489E" w14:textId="77777777" w:rsidR="00737D53" w:rsidRPr="00737D53" w:rsidRDefault="00737D53" w:rsidP="0017298C">
      <w:pPr>
        <w:pStyle w:val="BodyText"/>
        <w:rPr>
          <w:b/>
        </w:rPr>
      </w:pPr>
    </w:p>
    <w:p w14:paraId="2571F4D6" w14:textId="4A37E6E0" w:rsidR="00533F0E" w:rsidRDefault="00533F0E" w:rsidP="00533F0E">
      <w:pPr>
        <w:pStyle w:val="BodyText"/>
        <w:keepNext/>
      </w:pPr>
      <w:r w:rsidRPr="00533F0E">
        <w:rPr>
          <w:noProof/>
        </w:rPr>
        <w:lastRenderedPageBreak/>
        <w:drawing>
          <wp:inline distT="0" distB="0" distL="0" distR="0" wp14:anchorId="492F0AA5" wp14:editId="283E85B3">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D81781D" w14:textId="4EC45B09" w:rsidR="00533F0E" w:rsidRDefault="00533F0E" w:rsidP="00533F0E">
      <w:pPr>
        <w:pStyle w:val="Caption"/>
        <w:jc w:val="both"/>
      </w:pPr>
      <w:bookmarkStart w:id="5" w:name="_Ref465772198"/>
      <w:r>
        <w:t xml:space="preserve">Figure </w:t>
      </w:r>
      <w:fldSimple w:instr=" SEQ Figure \* ARABIC ">
        <w:r>
          <w:rPr>
            <w:noProof/>
          </w:rPr>
          <w:t>2</w:t>
        </w:r>
      </w:fldSimple>
      <w:bookmarkEnd w:id="5"/>
      <w:r>
        <w:t>: Hierarchical structure of aggregation levels (top), random structure of aggregation levels (bottom).</w:t>
      </w:r>
    </w:p>
    <w:p w14:paraId="6C34731C" w14:textId="56AF8D32" w:rsidR="00DA7D33" w:rsidRDefault="00DA7D33" w:rsidP="00DA7D33">
      <w:pPr>
        <w:pStyle w:val="Heading1"/>
        <w:spacing w:before="180"/>
        <w:ind w:left="562" w:hanging="562"/>
      </w:pPr>
      <w:r>
        <w:t>Conclusion</w:t>
      </w:r>
    </w:p>
    <w:p w14:paraId="27C8A7A2" w14:textId="6DDEF21C" w:rsidR="00B650EF" w:rsidRDefault="00B650EF" w:rsidP="00B650EF">
      <w:pPr>
        <w:pStyle w:val="BodyText"/>
      </w:pPr>
      <w:r>
        <w:t>It is proposed to</w:t>
      </w:r>
    </w:p>
    <w:p w14:paraId="1CFB1E40" w14:textId="3376214C" w:rsidR="00B650EF" w:rsidRPr="00B650EF" w:rsidRDefault="00B650EF" w:rsidP="00B650EF">
      <w:pPr>
        <w:pStyle w:val="BodyText"/>
        <w:numPr>
          <w:ilvl w:val="0"/>
          <w:numId w:val="26"/>
        </w:numPr>
      </w:pPr>
      <w:r w:rsidRPr="00B650EF">
        <w:t>Support a small number of DCI payload sizes. A header in the DCI indicates how to interpret the remaining bits.</w:t>
      </w:r>
    </w:p>
    <w:p w14:paraId="55E8428A" w14:textId="4A4D917B" w:rsidR="00B650EF" w:rsidRPr="00B650EF" w:rsidRDefault="00B650EF" w:rsidP="00B650EF">
      <w:pPr>
        <w:pStyle w:val="BodyText"/>
        <w:numPr>
          <w:ilvl w:val="0"/>
          <w:numId w:val="26"/>
        </w:numPr>
      </w:pPr>
      <w:r w:rsidRPr="00B650EF">
        <w:t>Adopt a nested structure of aggregation levels.</w:t>
      </w:r>
    </w:p>
    <w:sectPr w:rsidR="00B650EF" w:rsidRPr="00B650E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2665A"/>
    <w:multiLevelType w:val="hybridMultilevel"/>
    <w:tmpl w:val="9C54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0"/>
  </w:num>
  <w:num w:numId="4">
    <w:abstractNumId w:val="22"/>
  </w:num>
  <w:num w:numId="5">
    <w:abstractNumId w:val="19"/>
  </w:num>
  <w:num w:numId="6">
    <w:abstractNumId w:val="15"/>
  </w:num>
  <w:num w:numId="7">
    <w:abstractNumId w:val="21"/>
  </w:num>
  <w:num w:numId="8">
    <w:abstractNumId w:val="20"/>
  </w:num>
  <w:num w:numId="9">
    <w:abstractNumId w:val="8"/>
  </w:num>
  <w:num w:numId="10">
    <w:abstractNumId w:val="2"/>
  </w:num>
  <w:num w:numId="11">
    <w:abstractNumId w:val="14"/>
  </w:num>
  <w:num w:numId="12">
    <w:abstractNumId w:val="23"/>
  </w:num>
  <w:num w:numId="13">
    <w:abstractNumId w:val="1"/>
  </w:num>
  <w:num w:numId="14">
    <w:abstractNumId w:val="3"/>
  </w:num>
  <w:num w:numId="15">
    <w:abstractNumId w:val="9"/>
  </w:num>
  <w:num w:numId="16">
    <w:abstractNumId w:val="4"/>
  </w:num>
  <w:num w:numId="17">
    <w:abstractNumId w:val="22"/>
  </w:num>
  <w:num w:numId="18">
    <w:abstractNumId w:val="13"/>
  </w:num>
  <w:num w:numId="19">
    <w:abstractNumId w:val="16"/>
  </w:num>
  <w:num w:numId="20">
    <w:abstractNumId w:val="7"/>
  </w:num>
  <w:num w:numId="21">
    <w:abstractNumId w:val="6"/>
  </w:num>
  <w:num w:numId="22">
    <w:abstractNumId w:val="17"/>
  </w:num>
  <w:num w:numId="23">
    <w:abstractNumId w:val="12"/>
  </w:num>
  <w:num w:numId="24">
    <w:abstractNumId w:val="18"/>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106ABF"/>
    <w:rsid w:val="0017298C"/>
    <w:rsid w:val="001B243C"/>
    <w:rsid w:val="001F0CAF"/>
    <w:rsid w:val="00213303"/>
    <w:rsid w:val="00230310"/>
    <w:rsid w:val="0028065B"/>
    <w:rsid w:val="00286B6D"/>
    <w:rsid w:val="002E444B"/>
    <w:rsid w:val="00335675"/>
    <w:rsid w:val="0034475B"/>
    <w:rsid w:val="0048093F"/>
    <w:rsid w:val="0049799A"/>
    <w:rsid w:val="004B1C8B"/>
    <w:rsid w:val="0052140E"/>
    <w:rsid w:val="00533F0E"/>
    <w:rsid w:val="00543E22"/>
    <w:rsid w:val="005514B5"/>
    <w:rsid w:val="005838EA"/>
    <w:rsid w:val="00627565"/>
    <w:rsid w:val="0064000B"/>
    <w:rsid w:val="006A286A"/>
    <w:rsid w:val="006B481E"/>
    <w:rsid w:val="006D4A4B"/>
    <w:rsid w:val="00737D53"/>
    <w:rsid w:val="007C7533"/>
    <w:rsid w:val="008366AE"/>
    <w:rsid w:val="008A0342"/>
    <w:rsid w:val="00942F98"/>
    <w:rsid w:val="00982801"/>
    <w:rsid w:val="009A0611"/>
    <w:rsid w:val="009B5722"/>
    <w:rsid w:val="009E46CD"/>
    <w:rsid w:val="00A413C1"/>
    <w:rsid w:val="00B03ED8"/>
    <w:rsid w:val="00B368D9"/>
    <w:rsid w:val="00B650EF"/>
    <w:rsid w:val="00B828BD"/>
    <w:rsid w:val="00BB2430"/>
    <w:rsid w:val="00BB422B"/>
    <w:rsid w:val="00BB7B54"/>
    <w:rsid w:val="00BC0FFC"/>
    <w:rsid w:val="00BE4063"/>
    <w:rsid w:val="00C014C0"/>
    <w:rsid w:val="00C1560A"/>
    <w:rsid w:val="00C62894"/>
    <w:rsid w:val="00C663D3"/>
    <w:rsid w:val="00C8496C"/>
    <w:rsid w:val="00CA5E5D"/>
    <w:rsid w:val="00CB5A40"/>
    <w:rsid w:val="00CC1CA7"/>
    <w:rsid w:val="00CC260C"/>
    <w:rsid w:val="00CE6CB0"/>
    <w:rsid w:val="00D03072"/>
    <w:rsid w:val="00D577BB"/>
    <w:rsid w:val="00D84D5E"/>
    <w:rsid w:val="00DA7D33"/>
    <w:rsid w:val="00DB6F36"/>
    <w:rsid w:val="00DD11CB"/>
    <w:rsid w:val="00DE0D8A"/>
    <w:rsid w:val="00DE1BAA"/>
    <w:rsid w:val="00E10C1F"/>
    <w:rsid w:val="00E20E32"/>
    <w:rsid w:val="00EB26FB"/>
    <w:rsid w:val="00F116A9"/>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59FE-3C91-45D4-8334-6A1E58D7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2016-11-04T12:39:00Z</dcterms:created>
  <dcterms:modified xsi:type="dcterms:W3CDTF">2016-11-04T12:39:00Z</dcterms:modified>
</cp:coreProperties>
</file>